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280F46" w:rsidP="009841FE">
            <w:r>
              <w:t>Unload casing at location</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337573">
            <w:pPr>
              <w:rPr>
                <w:b/>
                <w:sz w:val="20"/>
                <w:szCs w:val="20"/>
              </w:rPr>
            </w:pPr>
            <w:r>
              <w:rPr>
                <w:b/>
                <w:sz w:val="20"/>
                <w:szCs w:val="20"/>
              </w:rPr>
              <w:t>Track Hoe, Forks,</w:t>
            </w: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337573" w:rsidP="00537F15">
            <w:pPr>
              <w:rPr>
                <w:b/>
                <w:sz w:val="20"/>
                <w:szCs w:val="20"/>
              </w:rPr>
            </w:pPr>
            <w:r>
              <w:rPr>
                <w:b/>
                <w:sz w:val="20"/>
                <w:szCs w:val="20"/>
              </w:rPr>
              <w:t>Semi-Tr</w:t>
            </w:r>
            <w:r w:rsidR="00280F46">
              <w:rPr>
                <w:b/>
                <w:sz w:val="20"/>
                <w:szCs w:val="20"/>
              </w:rPr>
              <w:t>uck casing</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337573" w:rsidP="00846909">
            <w:pPr>
              <w:rPr>
                <w:sz w:val="18"/>
                <w:szCs w:val="18"/>
              </w:rPr>
            </w:pPr>
            <w:r>
              <w:rPr>
                <w:sz w:val="18"/>
                <w:szCs w:val="18"/>
              </w:rPr>
              <w:t xml:space="preserve">Take bucket off excavator and put on fork attachment and secure lines to machine </w:t>
            </w:r>
          </w:p>
        </w:tc>
        <w:tc>
          <w:tcPr>
            <w:tcW w:w="1935" w:type="dxa"/>
            <w:gridSpan w:val="2"/>
            <w:tcBorders>
              <w:right w:val="single" w:sz="4" w:space="0" w:color="auto"/>
            </w:tcBorders>
          </w:tcPr>
          <w:p w:rsidR="00846909" w:rsidRDefault="00337573">
            <w:pPr>
              <w:rPr>
                <w:sz w:val="18"/>
                <w:szCs w:val="18"/>
              </w:rPr>
            </w:pPr>
            <w:r>
              <w:rPr>
                <w:sz w:val="18"/>
                <w:szCs w:val="18"/>
              </w:rPr>
              <w:t>Pinch points</w:t>
            </w:r>
          </w:p>
          <w:p w:rsidR="00337573" w:rsidRDefault="00337573">
            <w:pPr>
              <w:rPr>
                <w:sz w:val="18"/>
                <w:szCs w:val="18"/>
              </w:rPr>
            </w:pPr>
            <w:r>
              <w:rPr>
                <w:sz w:val="18"/>
                <w:szCs w:val="18"/>
              </w:rPr>
              <w:t>Other workers in area</w:t>
            </w:r>
          </w:p>
          <w:p w:rsidR="00337573" w:rsidRPr="009F30E8" w:rsidRDefault="00337573">
            <w:pPr>
              <w:rPr>
                <w:sz w:val="18"/>
                <w:szCs w:val="18"/>
              </w:rPr>
            </w:pPr>
            <w:r>
              <w:rPr>
                <w:sz w:val="18"/>
                <w:szCs w:val="18"/>
              </w:rPr>
              <w:t>Slips and trips entering and exiting machine</w:t>
            </w:r>
          </w:p>
        </w:tc>
        <w:tc>
          <w:tcPr>
            <w:tcW w:w="434" w:type="dxa"/>
            <w:tcBorders>
              <w:right w:val="single" w:sz="4" w:space="0" w:color="auto"/>
            </w:tcBorders>
          </w:tcPr>
          <w:p w:rsidR="00846909" w:rsidRPr="009F30E8" w:rsidRDefault="00893967">
            <w:pPr>
              <w:rPr>
                <w:sz w:val="18"/>
                <w:szCs w:val="18"/>
              </w:rPr>
            </w:pPr>
            <w:r>
              <w:rPr>
                <w:sz w:val="18"/>
                <w:szCs w:val="18"/>
              </w:rPr>
              <w:t>2c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846909" w:rsidRDefault="00337573" w:rsidP="00143329">
            <w:pPr>
              <w:rPr>
                <w:sz w:val="18"/>
                <w:szCs w:val="18"/>
              </w:rPr>
            </w:pPr>
            <w:r>
              <w:rPr>
                <w:sz w:val="18"/>
                <w:szCs w:val="18"/>
              </w:rPr>
              <w:t>Always wear a traffic vest when working in areas where traffic frequents</w:t>
            </w:r>
          </w:p>
          <w:p w:rsidR="00337573" w:rsidRPr="009F30E8" w:rsidRDefault="00337573" w:rsidP="00143329">
            <w:pPr>
              <w:rPr>
                <w:sz w:val="18"/>
                <w:szCs w:val="18"/>
              </w:rPr>
            </w:pPr>
            <w:r>
              <w:rPr>
                <w:sz w:val="18"/>
                <w:szCs w:val="18"/>
              </w:rPr>
              <w:t>Use bar instead of fingers when working in tight spaces. Check all hoses prior to use for wear or leaks</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280F46" w:rsidP="00846909">
            <w:pPr>
              <w:rPr>
                <w:sz w:val="18"/>
                <w:szCs w:val="18"/>
              </w:rPr>
            </w:pPr>
            <w:r>
              <w:rPr>
                <w:sz w:val="18"/>
                <w:szCs w:val="18"/>
              </w:rPr>
              <w:t>Guide casing</w:t>
            </w:r>
            <w:r w:rsidR="00391D0F">
              <w:rPr>
                <w:sz w:val="18"/>
                <w:szCs w:val="18"/>
              </w:rPr>
              <w:t xml:space="preserve"> truck into a position that is right for loading or unloading</w:t>
            </w:r>
          </w:p>
        </w:tc>
        <w:tc>
          <w:tcPr>
            <w:tcW w:w="1935" w:type="dxa"/>
            <w:gridSpan w:val="2"/>
            <w:tcBorders>
              <w:right w:val="single" w:sz="4" w:space="0" w:color="auto"/>
            </w:tcBorders>
          </w:tcPr>
          <w:p w:rsidR="00391D0F" w:rsidRDefault="00391D0F">
            <w:pPr>
              <w:rPr>
                <w:sz w:val="18"/>
                <w:szCs w:val="18"/>
              </w:rPr>
            </w:pPr>
            <w:r>
              <w:rPr>
                <w:sz w:val="18"/>
                <w:szCs w:val="18"/>
              </w:rPr>
              <w:t>Being hit by truck</w:t>
            </w:r>
          </w:p>
          <w:p w:rsidR="00391D0F" w:rsidRDefault="00391D0F">
            <w:pPr>
              <w:rPr>
                <w:sz w:val="18"/>
                <w:szCs w:val="18"/>
              </w:rPr>
            </w:pPr>
            <w:r>
              <w:rPr>
                <w:sz w:val="18"/>
                <w:szCs w:val="18"/>
              </w:rPr>
              <w:t>Slips and trips</w:t>
            </w:r>
          </w:p>
        </w:tc>
        <w:tc>
          <w:tcPr>
            <w:tcW w:w="434" w:type="dxa"/>
            <w:tcBorders>
              <w:right w:val="single" w:sz="4" w:space="0" w:color="auto"/>
            </w:tcBorders>
          </w:tcPr>
          <w:p w:rsidR="00391D0F" w:rsidRPr="009F30E8" w:rsidRDefault="00893967">
            <w:pPr>
              <w:rPr>
                <w:sz w:val="18"/>
                <w:szCs w:val="18"/>
              </w:rPr>
            </w:pPr>
            <w:r>
              <w:rPr>
                <w:sz w:val="18"/>
                <w:szCs w:val="18"/>
              </w:rPr>
              <w:t>2b</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391D0F" w:rsidP="00143329">
            <w:pPr>
              <w:rPr>
                <w:sz w:val="18"/>
                <w:szCs w:val="18"/>
              </w:rPr>
            </w:pPr>
            <w:r>
              <w:rPr>
                <w:sz w:val="18"/>
                <w:szCs w:val="18"/>
              </w:rPr>
              <w:t>Guide truck to where you want him to park. Never get in a position where you can’t see driver in mirror. Instruct driver to stop if he loses site of you the spotter.</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391D0F" w:rsidP="00143329">
            <w:pPr>
              <w:rPr>
                <w:sz w:val="18"/>
                <w:szCs w:val="18"/>
              </w:rPr>
            </w:pPr>
            <w:r>
              <w:rPr>
                <w:sz w:val="18"/>
                <w:szCs w:val="18"/>
              </w:rPr>
              <w:t>Do a walk around and make sure nothing is in your way before you start to unload truck.</w:t>
            </w:r>
          </w:p>
        </w:tc>
        <w:tc>
          <w:tcPr>
            <w:tcW w:w="1935" w:type="dxa"/>
            <w:gridSpan w:val="2"/>
            <w:tcBorders>
              <w:right w:val="single" w:sz="4" w:space="0" w:color="auto"/>
            </w:tcBorders>
          </w:tcPr>
          <w:p w:rsidR="00846909" w:rsidRDefault="00391D0F" w:rsidP="00143329">
            <w:pPr>
              <w:rPr>
                <w:sz w:val="18"/>
                <w:szCs w:val="18"/>
              </w:rPr>
            </w:pPr>
            <w:r>
              <w:rPr>
                <w:sz w:val="18"/>
                <w:szCs w:val="18"/>
              </w:rPr>
              <w:t>Other workers in area</w:t>
            </w:r>
          </w:p>
          <w:p w:rsidR="00391D0F" w:rsidRDefault="00391D0F" w:rsidP="00143329">
            <w:pPr>
              <w:rPr>
                <w:sz w:val="18"/>
                <w:szCs w:val="18"/>
              </w:rPr>
            </w:pPr>
            <w:r>
              <w:rPr>
                <w:sz w:val="18"/>
                <w:szCs w:val="18"/>
              </w:rPr>
              <w:t>Uneven ground</w:t>
            </w:r>
          </w:p>
          <w:p w:rsidR="00391D0F" w:rsidRPr="009F30E8" w:rsidRDefault="00391D0F" w:rsidP="00143329">
            <w:pPr>
              <w:rPr>
                <w:sz w:val="18"/>
                <w:szCs w:val="18"/>
              </w:rPr>
            </w:pPr>
            <w:r>
              <w:rPr>
                <w:sz w:val="18"/>
                <w:szCs w:val="18"/>
              </w:rPr>
              <w:t>Truck driver could move truck while you are walking around it</w:t>
            </w:r>
          </w:p>
        </w:tc>
        <w:tc>
          <w:tcPr>
            <w:tcW w:w="434" w:type="dxa"/>
            <w:tcBorders>
              <w:right w:val="single" w:sz="4" w:space="0" w:color="auto"/>
            </w:tcBorders>
          </w:tcPr>
          <w:p w:rsidR="00846909" w:rsidRPr="009F30E8" w:rsidRDefault="00893967" w:rsidP="00143329">
            <w:pPr>
              <w:rPr>
                <w:sz w:val="18"/>
                <w:szCs w:val="18"/>
              </w:rPr>
            </w:pPr>
            <w:r>
              <w:rPr>
                <w:sz w:val="18"/>
                <w:szCs w:val="18"/>
              </w:rPr>
              <w:t>3c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Default="00391D0F" w:rsidP="00143329">
            <w:pPr>
              <w:rPr>
                <w:sz w:val="18"/>
                <w:szCs w:val="18"/>
              </w:rPr>
            </w:pPr>
            <w:r>
              <w:rPr>
                <w:sz w:val="18"/>
                <w:szCs w:val="18"/>
              </w:rPr>
              <w:t xml:space="preserve">Wear proper </w:t>
            </w:r>
            <w:proofErr w:type="spellStart"/>
            <w:r>
              <w:rPr>
                <w:sz w:val="18"/>
                <w:szCs w:val="18"/>
              </w:rPr>
              <w:t>ppe</w:t>
            </w:r>
            <w:proofErr w:type="spellEnd"/>
            <w:r>
              <w:rPr>
                <w:sz w:val="18"/>
                <w:szCs w:val="18"/>
              </w:rPr>
              <w:t xml:space="preserve"> including a traffic vest</w:t>
            </w:r>
          </w:p>
          <w:p w:rsidR="00391D0F" w:rsidRDefault="00391D0F" w:rsidP="00143329">
            <w:pPr>
              <w:rPr>
                <w:sz w:val="18"/>
                <w:szCs w:val="18"/>
              </w:rPr>
            </w:pPr>
            <w:r>
              <w:rPr>
                <w:sz w:val="18"/>
                <w:szCs w:val="18"/>
              </w:rPr>
              <w:t>Tell truck driver what you are doing so he does not move truck.</w:t>
            </w:r>
          </w:p>
          <w:p w:rsidR="00391D0F" w:rsidRPr="009F30E8" w:rsidRDefault="00391D0F" w:rsidP="00143329">
            <w:pPr>
              <w:rPr>
                <w:sz w:val="18"/>
                <w:szCs w:val="18"/>
              </w:rPr>
            </w:pPr>
            <w:r>
              <w:rPr>
                <w:sz w:val="18"/>
                <w:szCs w:val="18"/>
              </w:rPr>
              <w:t>Watch ground and wear proper footwear.</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391D0F" w:rsidP="00143329">
            <w:pPr>
              <w:rPr>
                <w:sz w:val="18"/>
                <w:szCs w:val="18"/>
              </w:rPr>
            </w:pPr>
            <w:r>
              <w:rPr>
                <w:sz w:val="18"/>
                <w:szCs w:val="18"/>
              </w:rPr>
              <w:t xml:space="preserve">After driver </w:t>
            </w:r>
            <w:r w:rsidR="00280F46">
              <w:rPr>
                <w:sz w:val="18"/>
                <w:szCs w:val="18"/>
              </w:rPr>
              <w:t>removes straps off casing, remove casing and stack on the casing rack</w:t>
            </w:r>
          </w:p>
        </w:tc>
        <w:tc>
          <w:tcPr>
            <w:tcW w:w="1935" w:type="dxa"/>
            <w:gridSpan w:val="2"/>
            <w:tcBorders>
              <w:right w:val="single" w:sz="4" w:space="0" w:color="auto"/>
            </w:tcBorders>
          </w:tcPr>
          <w:p w:rsidR="00391D0F" w:rsidRDefault="00280F46" w:rsidP="00143329">
            <w:pPr>
              <w:rPr>
                <w:sz w:val="18"/>
                <w:szCs w:val="18"/>
              </w:rPr>
            </w:pPr>
            <w:r>
              <w:rPr>
                <w:sz w:val="18"/>
                <w:szCs w:val="18"/>
              </w:rPr>
              <w:t xml:space="preserve">Casing is 40 </w:t>
            </w:r>
            <w:proofErr w:type="spellStart"/>
            <w:r>
              <w:rPr>
                <w:sz w:val="18"/>
                <w:szCs w:val="18"/>
              </w:rPr>
              <w:t>ft</w:t>
            </w:r>
            <w:proofErr w:type="spellEnd"/>
            <w:r>
              <w:rPr>
                <w:sz w:val="18"/>
                <w:szCs w:val="18"/>
              </w:rPr>
              <w:t xml:space="preserve"> long so you could hit something with the ends of it.</w:t>
            </w:r>
          </w:p>
          <w:p w:rsidR="00280F46" w:rsidRDefault="00280F46" w:rsidP="00143329">
            <w:pPr>
              <w:rPr>
                <w:sz w:val="18"/>
                <w:szCs w:val="18"/>
              </w:rPr>
            </w:pPr>
            <w:r>
              <w:rPr>
                <w:sz w:val="18"/>
                <w:szCs w:val="18"/>
              </w:rPr>
              <w:t>Workers in area</w:t>
            </w:r>
          </w:p>
          <w:p w:rsidR="00280F46" w:rsidRDefault="00280F46" w:rsidP="00143329">
            <w:pPr>
              <w:rPr>
                <w:sz w:val="18"/>
                <w:szCs w:val="18"/>
              </w:rPr>
            </w:pPr>
            <w:r>
              <w:rPr>
                <w:sz w:val="18"/>
                <w:szCs w:val="18"/>
              </w:rPr>
              <w:lastRenderedPageBreak/>
              <w:t>Equipment in the area.</w:t>
            </w:r>
          </w:p>
          <w:p w:rsidR="00280F46" w:rsidRPr="009F30E8" w:rsidRDefault="00280F46" w:rsidP="00143329">
            <w:pPr>
              <w:rPr>
                <w:sz w:val="18"/>
                <w:szCs w:val="18"/>
              </w:rPr>
            </w:pPr>
            <w:r>
              <w:rPr>
                <w:sz w:val="18"/>
                <w:szCs w:val="18"/>
              </w:rPr>
              <w:t xml:space="preserve">Casing could </w:t>
            </w:r>
            <w:proofErr w:type="spellStart"/>
            <w:r>
              <w:rPr>
                <w:sz w:val="18"/>
                <w:szCs w:val="18"/>
              </w:rPr>
              <w:t>role</w:t>
            </w:r>
            <w:proofErr w:type="spellEnd"/>
            <w:r>
              <w:rPr>
                <w:sz w:val="18"/>
                <w:szCs w:val="18"/>
              </w:rPr>
              <w:t xml:space="preserve"> off forks</w:t>
            </w:r>
          </w:p>
        </w:tc>
        <w:tc>
          <w:tcPr>
            <w:tcW w:w="434" w:type="dxa"/>
            <w:tcBorders>
              <w:right w:val="single" w:sz="4" w:space="0" w:color="auto"/>
            </w:tcBorders>
          </w:tcPr>
          <w:p w:rsidR="00846909" w:rsidRPr="009F30E8" w:rsidRDefault="00893967" w:rsidP="00143329">
            <w:pPr>
              <w:rPr>
                <w:sz w:val="18"/>
                <w:szCs w:val="18"/>
              </w:rPr>
            </w:pPr>
            <w:r>
              <w:rPr>
                <w:sz w:val="18"/>
                <w:szCs w:val="18"/>
              </w:rPr>
              <w:lastRenderedPageBreak/>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280F46" w:rsidP="00143329">
            <w:pPr>
              <w:rPr>
                <w:sz w:val="18"/>
                <w:szCs w:val="18"/>
              </w:rPr>
            </w:pPr>
            <w:r>
              <w:rPr>
                <w:sz w:val="18"/>
                <w:szCs w:val="18"/>
              </w:rPr>
              <w:t xml:space="preserve">Always make sure the pipe forks are used. Make sure to clamp down and secure the pipes as soon as it is on the forks. Clear area of workers and equipment while you unload the casing. Never let workers near the </w:t>
            </w:r>
            <w:r>
              <w:rPr>
                <w:sz w:val="18"/>
                <w:szCs w:val="18"/>
              </w:rPr>
              <w:lastRenderedPageBreak/>
              <w:t>ends of the casing while it is being unloaded. Make sure to block pile so it can’t role before worker can go near pile.</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280F46" w:rsidP="00143329">
            <w:pPr>
              <w:rPr>
                <w:sz w:val="18"/>
                <w:szCs w:val="18"/>
              </w:rPr>
            </w:pPr>
            <w:r>
              <w:rPr>
                <w:sz w:val="18"/>
                <w:szCs w:val="18"/>
              </w:rPr>
              <w:t>If loading extras back onto the truck follow the same procedure only in reverse.</w:t>
            </w:r>
          </w:p>
        </w:tc>
        <w:tc>
          <w:tcPr>
            <w:tcW w:w="1935" w:type="dxa"/>
            <w:gridSpan w:val="2"/>
            <w:tcBorders>
              <w:right w:val="single" w:sz="4" w:space="0" w:color="auto"/>
            </w:tcBorders>
          </w:tcPr>
          <w:p w:rsidR="00712482" w:rsidRDefault="00280F46" w:rsidP="00143329">
            <w:pPr>
              <w:rPr>
                <w:sz w:val="18"/>
                <w:szCs w:val="18"/>
              </w:rPr>
            </w:pPr>
            <w:r>
              <w:rPr>
                <w:sz w:val="18"/>
                <w:szCs w:val="18"/>
              </w:rPr>
              <w:t>Hitting workers and equipment with casing.</w:t>
            </w:r>
          </w:p>
          <w:p w:rsidR="00280F46" w:rsidRPr="009F30E8" w:rsidRDefault="00280F46" w:rsidP="00143329">
            <w:pPr>
              <w:rPr>
                <w:sz w:val="18"/>
                <w:szCs w:val="18"/>
              </w:rPr>
            </w:pPr>
            <w:r>
              <w:rPr>
                <w:sz w:val="18"/>
                <w:szCs w:val="18"/>
              </w:rPr>
              <w:t>Having casing role off forks</w:t>
            </w:r>
          </w:p>
        </w:tc>
        <w:tc>
          <w:tcPr>
            <w:tcW w:w="434" w:type="dxa"/>
            <w:tcBorders>
              <w:right w:val="single" w:sz="4" w:space="0" w:color="auto"/>
            </w:tcBorders>
          </w:tcPr>
          <w:p w:rsidR="00846909" w:rsidRPr="009F30E8" w:rsidRDefault="00893967" w:rsidP="00143329">
            <w:pPr>
              <w:rPr>
                <w:sz w:val="18"/>
                <w:szCs w:val="18"/>
              </w:rPr>
            </w:pPr>
            <w:r>
              <w:rPr>
                <w:sz w:val="18"/>
                <w:szCs w:val="18"/>
              </w:rPr>
              <w:t>3c</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Pr="009F30E8" w:rsidRDefault="00280F46" w:rsidP="00143329">
            <w:pPr>
              <w:rPr>
                <w:sz w:val="18"/>
                <w:szCs w:val="18"/>
              </w:rPr>
            </w:pPr>
            <w:r>
              <w:rPr>
                <w:sz w:val="18"/>
                <w:szCs w:val="18"/>
              </w:rPr>
              <w:t>Always make sure the pipe forks are used. Make sure to clamp down and secure the pipes as soon as it is on the forks. Clear area of workers and equipment while you unload the casing. Never let workers near the ends of the casing while it is being unloaded. Make sure to block pile so it can’t role before worker can go near pile.</w:t>
            </w: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3C" w:rsidRDefault="00FA573C" w:rsidP="000A642F">
      <w:pPr>
        <w:spacing w:after="0" w:line="240" w:lineRule="auto"/>
      </w:pPr>
      <w:r>
        <w:separator/>
      </w:r>
    </w:p>
  </w:endnote>
  <w:endnote w:type="continuationSeparator" w:id="0">
    <w:p w:rsidR="00FA573C" w:rsidRDefault="00FA573C"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3C" w:rsidRDefault="00FA573C" w:rsidP="000A642F">
      <w:pPr>
        <w:spacing w:after="0" w:line="240" w:lineRule="auto"/>
      </w:pPr>
      <w:r>
        <w:separator/>
      </w:r>
    </w:p>
  </w:footnote>
  <w:footnote w:type="continuationSeparator" w:id="0">
    <w:p w:rsidR="00FA573C" w:rsidRDefault="00FA573C"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F12D1"/>
    <w:rsid w:val="001F1B28"/>
    <w:rsid w:val="001F4087"/>
    <w:rsid w:val="001F5C54"/>
    <w:rsid w:val="0025782E"/>
    <w:rsid w:val="00280F46"/>
    <w:rsid w:val="002D7F42"/>
    <w:rsid w:val="0032296D"/>
    <w:rsid w:val="00337573"/>
    <w:rsid w:val="00391D0F"/>
    <w:rsid w:val="003C7EFE"/>
    <w:rsid w:val="00425EB6"/>
    <w:rsid w:val="004401A6"/>
    <w:rsid w:val="004B1DEE"/>
    <w:rsid w:val="004B2596"/>
    <w:rsid w:val="004C00A0"/>
    <w:rsid w:val="005304EA"/>
    <w:rsid w:val="00537F15"/>
    <w:rsid w:val="005A4CA0"/>
    <w:rsid w:val="0060155D"/>
    <w:rsid w:val="00611812"/>
    <w:rsid w:val="00621DD0"/>
    <w:rsid w:val="00685FC9"/>
    <w:rsid w:val="006923B7"/>
    <w:rsid w:val="006B40F7"/>
    <w:rsid w:val="00700A34"/>
    <w:rsid w:val="00712482"/>
    <w:rsid w:val="00717723"/>
    <w:rsid w:val="007200F1"/>
    <w:rsid w:val="00772DD2"/>
    <w:rsid w:val="00791072"/>
    <w:rsid w:val="007B76C4"/>
    <w:rsid w:val="007E68AD"/>
    <w:rsid w:val="007F1124"/>
    <w:rsid w:val="0084512C"/>
    <w:rsid w:val="00846909"/>
    <w:rsid w:val="00893967"/>
    <w:rsid w:val="008B47CE"/>
    <w:rsid w:val="00940720"/>
    <w:rsid w:val="009841FE"/>
    <w:rsid w:val="00987858"/>
    <w:rsid w:val="009C7AC0"/>
    <w:rsid w:val="009E318C"/>
    <w:rsid w:val="009F30E8"/>
    <w:rsid w:val="00A358AB"/>
    <w:rsid w:val="00A4787F"/>
    <w:rsid w:val="00A6126B"/>
    <w:rsid w:val="00A62D9D"/>
    <w:rsid w:val="00A80BCC"/>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3A70"/>
    <w:rsid w:val="00FA573C"/>
    <w:rsid w:val="00FB4335"/>
    <w:rsid w:val="00FC072C"/>
    <w:rsid w:val="00FC6614"/>
    <w:rsid w:val="00FD087E"/>
    <w:rsid w:val="00FE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4634-A5EE-43C7-BAC0-65D1D21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2015-03-02T22:13:00Z</dcterms:created>
  <dcterms:modified xsi:type="dcterms:W3CDTF">2015-03-08T00:20:00Z</dcterms:modified>
</cp:coreProperties>
</file>